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A902" w14:textId="77777777" w:rsidR="0034778C" w:rsidRDefault="0034778C">
      <w:pPr>
        <w:tabs>
          <w:tab w:val="center" w:pos="4819"/>
          <w:tab w:val="right" w:pos="9638"/>
        </w:tabs>
      </w:pPr>
      <w:bookmarkStart w:id="0" w:name="_GoBack"/>
      <w:bookmarkEnd w:id="0"/>
    </w:p>
    <w:p w14:paraId="38E4A903" w14:textId="77777777" w:rsidR="0034778C" w:rsidRDefault="00315D9E">
      <w:pPr>
        <w:tabs>
          <w:tab w:val="center" w:pos="4819"/>
          <w:tab w:val="right" w:pos="9638"/>
        </w:tabs>
        <w:jc w:val="center"/>
        <w:rPr>
          <w:b/>
          <w:bCs/>
          <w:szCs w:val="24"/>
        </w:rPr>
      </w:pPr>
      <w:r>
        <w:rPr>
          <w:b/>
          <w:bCs/>
          <w:szCs w:val="24"/>
        </w:rPr>
        <w:t xml:space="preserve">LIETUVOS RESPUBLIKOS SVEIKATOS APSAUGOS MINISTRAS </w:t>
      </w:r>
      <w:r>
        <w:rPr>
          <w:szCs w:val="24"/>
        </w:rPr>
        <w:t>–</w:t>
      </w:r>
    </w:p>
    <w:p w14:paraId="38E4A904" w14:textId="77777777" w:rsidR="0034778C" w:rsidRDefault="00315D9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8E4A905" w14:textId="77777777" w:rsidR="0034778C" w:rsidRDefault="0034778C">
      <w:pPr>
        <w:tabs>
          <w:tab w:val="center" w:pos="4819"/>
          <w:tab w:val="right" w:pos="9638"/>
        </w:tabs>
        <w:jc w:val="center"/>
        <w:rPr>
          <w:b/>
          <w:bCs/>
          <w:szCs w:val="24"/>
        </w:rPr>
      </w:pPr>
    </w:p>
    <w:p w14:paraId="38E4A906" w14:textId="77777777" w:rsidR="0034778C" w:rsidRDefault="00315D9E">
      <w:pPr>
        <w:tabs>
          <w:tab w:val="center" w:pos="4819"/>
          <w:tab w:val="right" w:pos="9638"/>
        </w:tabs>
        <w:jc w:val="center"/>
        <w:rPr>
          <w:b/>
          <w:bCs/>
          <w:szCs w:val="24"/>
        </w:rPr>
      </w:pPr>
      <w:r>
        <w:rPr>
          <w:b/>
          <w:bCs/>
          <w:szCs w:val="24"/>
        </w:rPr>
        <w:t>SPRENDIMAS</w:t>
      </w:r>
    </w:p>
    <w:p w14:paraId="38E4A907" w14:textId="77777777" w:rsidR="0034778C" w:rsidRDefault="00315D9E">
      <w:pPr>
        <w:jc w:val="center"/>
        <w:rPr>
          <w:b/>
          <w:bCs/>
          <w:color w:val="000000"/>
          <w:szCs w:val="24"/>
          <w:shd w:val="clear" w:color="auto" w:fill="FFFFFF"/>
        </w:rPr>
      </w:pPr>
      <w:r>
        <w:rPr>
          <w:b/>
          <w:bCs/>
          <w:color w:val="000000"/>
          <w:szCs w:val="24"/>
          <w:shd w:val="clear" w:color="auto" w:fill="FFFFFF"/>
        </w:rPr>
        <w:t>DĖL IKIMOKYKLINIO IR PRIEŠMOKYKLINIO UGDYMO ORGANIZAVIMO BŪTINŲ SĄLYGŲ</w:t>
      </w:r>
    </w:p>
    <w:p w14:paraId="38E4A908" w14:textId="77777777" w:rsidR="0034778C" w:rsidRDefault="0034778C">
      <w:pPr>
        <w:jc w:val="center"/>
        <w:rPr>
          <w:b/>
          <w:bCs/>
          <w:color w:val="000000"/>
          <w:szCs w:val="24"/>
          <w:shd w:val="clear" w:color="auto" w:fill="FFFFFF"/>
        </w:rPr>
      </w:pPr>
    </w:p>
    <w:p w14:paraId="38E4A909" w14:textId="7C25406E" w:rsidR="0034778C" w:rsidRDefault="00315D9E">
      <w:pPr>
        <w:jc w:val="center"/>
        <w:rPr>
          <w:szCs w:val="24"/>
        </w:rPr>
      </w:pPr>
      <w:r>
        <w:rPr>
          <w:szCs w:val="24"/>
        </w:rPr>
        <w:t>2020 m. birželio 16 d. Nr. V-1487</w:t>
      </w:r>
    </w:p>
    <w:p w14:paraId="38E4A90A" w14:textId="77777777" w:rsidR="0034778C" w:rsidRDefault="00315D9E">
      <w:pPr>
        <w:jc w:val="center"/>
        <w:rPr>
          <w:szCs w:val="24"/>
        </w:rPr>
      </w:pPr>
      <w:r>
        <w:rPr>
          <w:szCs w:val="24"/>
        </w:rPr>
        <w:t>Vilnius</w:t>
      </w:r>
    </w:p>
    <w:p w14:paraId="38E4A90B" w14:textId="77777777" w:rsidR="0034778C" w:rsidRDefault="0034778C">
      <w:pPr>
        <w:ind w:firstLine="720"/>
        <w:jc w:val="center"/>
        <w:rPr>
          <w:b/>
          <w:bCs/>
          <w:color w:val="000000"/>
          <w:szCs w:val="24"/>
          <w:shd w:val="clear" w:color="auto" w:fill="FFFFFF"/>
        </w:rPr>
      </w:pPr>
    </w:p>
    <w:p w14:paraId="38E4A90C" w14:textId="77777777" w:rsidR="0034778C" w:rsidRDefault="0034778C">
      <w:pPr>
        <w:jc w:val="both"/>
        <w:rPr>
          <w:szCs w:val="24"/>
        </w:rPr>
      </w:pPr>
    </w:p>
    <w:p w14:paraId="38E4A90D" w14:textId="77777777" w:rsidR="0034778C" w:rsidRDefault="00315D9E">
      <w:pPr>
        <w:tabs>
          <w:tab w:val="left" w:pos="851"/>
          <w:tab w:val="left" w:pos="1560"/>
        </w:tabs>
        <w:ind w:firstLine="851"/>
        <w:jc w:val="both"/>
        <w:rPr>
          <w:szCs w:val="24"/>
        </w:rPr>
      </w:pPr>
      <w:r>
        <w:rPr>
          <w:szCs w:val="24"/>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14:paraId="38E4A90E" w14:textId="77777777" w:rsidR="0034778C" w:rsidRDefault="00315D9E">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w:t>
      </w:r>
    </w:p>
    <w:p w14:paraId="38E4A90F"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 Užtikrinti, kad ugdymo paslaugos būtų organizuojamos maksimaliai laikantis grupių izoliacijos principo:</w:t>
      </w:r>
    </w:p>
    <w:p w14:paraId="38E4A910"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1.1. vaikai, lankytų nuolatos tą pačią grupę, grupės veikla būtų vykdoma taip, kad būtų išvengta skirtingas grupes lankančių vaikų kontakto patalpose, kuriose teikiamos ugdymo paslaugos;</w:t>
      </w:r>
    </w:p>
    <w:p w14:paraId="38E4A911"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dirbtų tik vienoje grupėje;</w:t>
      </w:r>
    </w:p>
    <w:p w14:paraId="38E4A912"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1.3. su vaikais neturėtų kontakto darbuotojai, į kurių pareigas neįeina tiesioginis darbas su vaikais;</w:t>
      </w:r>
    </w:p>
    <w:p w14:paraId="38E4A913"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1.4. riboti skirtingose grupėse dirbančių darbuotojų kontaktą, jei to padaryti neįmanoma, riboti kontakto laiką išlaikant saugų atstumą;</w:t>
      </w:r>
    </w:p>
    <w:p w14:paraId="38E4A914"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1.5. 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14:paraId="38E4A915" w14:textId="77777777" w:rsidR="0034778C" w:rsidRDefault="00315D9E">
      <w:pPr>
        <w:tabs>
          <w:tab w:val="left" w:pos="851"/>
          <w:tab w:val="left" w:pos="1560"/>
        </w:tabs>
        <w:ind w:firstLine="851"/>
        <w:jc w:val="both"/>
        <w:rPr>
          <w:szCs w:val="24"/>
        </w:rPr>
      </w:pPr>
      <w:r>
        <w:rPr>
          <w:szCs w:val="24"/>
        </w:rPr>
        <w:t>1.</w:t>
      </w:r>
      <w:r>
        <w:rPr>
          <w:szCs w:val="24"/>
          <w:shd w:val="clear" w:color="auto" w:fill="FFFFFF"/>
        </w:rPr>
        <w:t>1.6. užtikrinti, kad nebūtų organizuojamos bendros veiklos kelioms vaikų grupėms. Jei įstaigoje yra bendrų patalpų (kūno kultūros, muzikos salių ar pan.) po kiekvienos grupės panaudojimo jos turi būti išvėdinamos ir išvalomos.</w:t>
      </w:r>
    </w:p>
    <w:p w14:paraId="38E4A916" w14:textId="77777777" w:rsidR="0034778C" w:rsidRDefault="00315D9E">
      <w:pPr>
        <w:tabs>
          <w:tab w:val="left" w:pos="851"/>
          <w:tab w:val="left" w:pos="1560"/>
        </w:tabs>
        <w:ind w:firstLine="851"/>
        <w:jc w:val="both"/>
        <w:rPr>
          <w:szCs w:val="24"/>
        </w:rPr>
      </w:pPr>
      <w:r>
        <w:rPr>
          <w:szCs w:val="24"/>
        </w:rPr>
        <w:t>1.</w:t>
      </w:r>
      <w:r>
        <w:rPr>
          <w:szCs w:val="24"/>
          <w:shd w:val="clear" w:color="auto" w:fill="FFFFFF"/>
        </w:rPr>
        <w:t>2.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38E4A917" w14:textId="77777777" w:rsidR="0034778C" w:rsidRDefault="00315D9E">
      <w:pPr>
        <w:tabs>
          <w:tab w:val="left" w:pos="851"/>
          <w:tab w:val="left" w:pos="1560"/>
        </w:tabs>
        <w:ind w:firstLine="851"/>
        <w:jc w:val="both"/>
        <w:rPr>
          <w:szCs w:val="24"/>
        </w:rPr>
      </w:pPr>
      <w:r>
        <w:rPr>
          <w:szCs w:val="24"/>
        </w:rPr>
        <w:t>1.</w:t>
      </w:r>
      <w:r>
        <w:rPr>
          <w:szCs w:val="24"/>
          <w:shd w:val="clear" w:color="auto" w:fill="FFFFFF"/>
        </w:rPr>
        <w:t>3. Prie įėjimo į patalpas, kuriose vykdomas ikimokyklinis ir (ar) priešmokyklinis ugdymas, pateikti informaciją apie asmens higienos laikymosi būtinybę (rankų higieną, kosėjimo, čiaudėjimo etiketą ir kt.).</w:t>
      </w:r>
    </w:p>
    <w:p w14:paraId="38E4A918"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1.4. Užtikrinti, kad šalia įėjimų į patalpas, kuriose vykdomas ikimokyklinis ir (ar) priešmokyklinis ugdymas, būtų sudarytos galimybės rankų dezinfekcijai (gerai matomoje, bet vaikams nepasiekiamoje vietoje pakabintos rankų dezinfekcijai skirtos priemonės).</w:t>
      </w:r>
    </w:p>
    <w:p w14:paraId="38E4A919"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lastRenderedPageBreak/>
        <w:t>1.5. 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p>
    <w:p w14:paraId="38E4A91A"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 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p w14:paraId="38E4A91B"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1.6.1. sudaryti sąlygas matuoti(s) darbuotojų(-ams) kūno temperatūrą atvykus į darbą.</w:t>
      </w:r>
    </w:p>
    <w:p w14:paraId="38E4A91C"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1.6.2. darbuotojams, kuriems pasireiškia ūmių viršutinių kvėpavimo takų ligų ir kitų užkrečiamųjų ligų požymiai (pvz., karščiavimas, sloga, kosulys, pasunkėjęs kvėpavimas ir pan.), rekomenduoti konsultuotis Karštąja koronaviruso linija tel. 1808 arba susisiekti su savo šeimos gydytoju konsultacijai;</w:t>
      </w:r>
    </w:p>
    <w:p w14:paraId="38E4A91D"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1.6.3. jeigu darbuotojo administracija iš paties darbuotojo gavo informaciją apie jam nustatytą COVID-19 ligą (koronoviruso infekciją), apie tai informuoti Nacionalinį visuomenės sveikatos centrą prie Sveikatos apsaugos ministerijos (toliau – NVSC), bendradarbiauti su NVSC nustatant sąlytį turėjusius asmenis ir jiems taikant 14 dienų izoliaciją;</w:t>
      </w:r>
    </w:p>
    <w:p w14:paraId="38E4A91E"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1.6.4. drausti dirbti darbuotojams, kuriems privaloma izoliacija, izoliacijos laikotarpiu, išskyrus darbuotojus, dirbančius nuotoliniu būdu.</w:t>
      </w:r>
    </w:p>
    <w:p w14:paraId="38E4A91F"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1.7. Užtikrinti, kad ugdymo paslaugų teikimo vietoje būtų sudarytos tinkamos sąlygos darbuotojų ir vaikų rankų higienai (praustuvėse tiekiamas šiltas ir šaltas vanduo, prie praustuvių patiekiama skysto muilo).</w:t>
      </w:r>
    </w:p>
    <w:p w14:paraId="38E4A920"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1.8. Užtikrinti, kad kriauklės ir kiti sanitariniai mazgai, kuriais naudojasi kelios vaikų grupės, būtų dezinfekuojami kiekvieną kartą jais pasinaudojus vienam vaikui.</w:t>
      </w:r>
    </w:p>
    <w:p w14:paraId="38E4A921"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1.9. Užtikrinti, kad ugdymo paslaugų teikimo patalpos būtų išvėdinamos prieš atvykstant vaikams ir ne rečiau kaip 2 kartus per dieną, o aplinkos valymas ugdymo paslaugų teikimo vietoje būtų atliekama atsižvelgiant į Lietuvos Respublikos sveikatos apsaugos ministerijos parengtas rekomendacijas patalpų valymui COVID-19 pandemijos metu (https://sam.lrv.lt/uploads/sam/documents/files/REKOMENDACIJOS%20dezinfekcijai%2020200327%20(1).pdf).</w:t>
      </w:r>
    </w:p>
    <w:p w14:paraId="38E4A922" w14:textId="77777777" w:rsidR="0034778C" w:rsidRDefault="00315D9E">
      <w:pPr>
        <w:tabs>
          <w:tab w:val="left" w:pos="851"/>
          <w:tab w:val="left" w:pos="1560"/>
        </w:tabs>
        <w:ind w:firstLine="851"/>
        <w:jc w:val="both"/>
        <w:rPr>
          <w:szCs w:val="24"/>
          <w:shd w:val="clear" w:color="auto" w:fill="FFFFFF"/>
        </w:rPr>
      </w:pPr>
      <w:r>
        <w:t xml:space="preserve">2. Rekomenduojama </w:t>
      </w:r>
      <w:r>
        <w:rPr>
          <w:szCs w:val="24"/>
          <w:shd w:val="clear" w:color="auto" w:fill="FFFFFF"/>
        </w:rPr>
        <w:t>asmenims, atlydintiems vaikus ir darbuotojams, vykdantiems vaikų priėmimą į įstaigą, dėvėti nosį ir burną dengiančias priemones (veido kaukes, respiratorius ar kitas priemones).</w:t>
      </w:r>
    </w:p>
    <w:p w14:paraId="38E4A923" w14:textId="77777777" w:rsidR="0034778C" w:rsidRDefault="00315D9E">
      <w:pPr>
        <w:tabs>
          <w:tab w:val="left" w:pos="851"/>
          <w:tab w:val="left" w:pos="1560"/>
        </w:tabs>
        <w:ind w:firstLine="851"/>
        <w:jc w:val="both"/>
        <w:rPr>
          <w:szCs w:val="24"/>
          <w:shd w:val="clear" w:color="auto" w:fill="FFFFFF"/>
        </w:rPr>
      </w:pPr>
      <w:r>
        <w:t xml:space="preserve">3. Pripažinti netekusiu galios </w:t>
      </w:r>
      <w:r>
        <w:rPr>
          <w:szCs w:val="24"/>
        </w:rPr>
        <w:t>Lietuvos Respublikos sveikatos apsaugos ministro – valstybės lygio ekstremaliosios situacijos valstybės operacijų vadovo 2020 m. gegužės 11 d. sprendimą Nr. V-1116 „Dėl ikimokyklinio ir priešmokyklinio ugdymo organizavimo būtinų sąlygų</w:t>
      </w:r>
      <w:r>
        <w:rPr>
          <w:color w:val="000000"/>
          <w:szCs w:val="24"/>
          <w:shd w:val="clear" w:color="auto" w:fill="FFFFFF"/>
        </w:rPr>
        <w:t xml:space="preserve">“ </w:t>
      </w:r>
      <w:r>
        <w:t>su visais pakeitimais ir papildymais.</w:t>
      </w:r>
    </w:p>
    <w:p w14:paraId="38E4A924" w14:textId="77777777" w:rsidR="0034778C" w:rsidRDefault="00315D9E">
      <w:pPr>
        <w:tabs>
          <w:tab w:val="left" w:pos="851"/>
          <w:tab w:val="left" w:pos="1560"/>
        </w:tabs>
        <w:ind w:firstLine="851"/>
        <w:jc w:val="both"/>
        <w:rPr>
          <w:szCs w:val="24"/>
          <w:shd w:val="clear" w:color="auto" w:fill="FFFFFF"/>
        </w:rPr>
      </w:pPr>
      <w:r>
        <w:rPr>
          <w:szCs w:val="24"/>
          <w:shd w:val="clear" w:color="auto" w:fill="FFFFFF"/>
        </w:rPr>
        <w:t>4</w:t>
      </w:r>
      <w:r>
        <w:t>. Nustatyti, kad šis sprendimas įsigalioja 2020 m. birželio 17 d.</w:t>
      </w:r>
    </w:p>
    <w:p w14:paraId="38E4A925" w14:textId="77777777" w:rsidR="0034778C" w:rsidRDefault="0034778C"/>
    <w:p w14:paraId="38E4A926" w14:textId="77777777" w:rsidR="0034778C" w:rsidRDefault="0034778C"/>
    <w:p w14:paraId="38E4A927" w14:textId="77777777" w:rsidR="0034778C" w:rsidRDefault="0034778C"/>
    <w:p w14:paraId="38E4A928" w14:textId="77777777" w:rsidR="0034778C" w:rsidRDefault="00315D9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38E4A929" w14:textId="77777777" w:rsidR="0034778C" w:rsidRDefault="00315D9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34778C" w:rsidSect="00315D9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7B83" w14:textId="77777777" w:rsidR="00C71989" w:rsidRDefault="00C71989">
      <w:r>
        <w:separator/>
      </w:r>
    </w:p>
  </w:endnote>
  <w:endnote w:type="continuationSeparator" w:id="0">
    <w:p w14:paraId="7ADADC3F" w14:textId="77777777" w:rsidR="00C71989" w:rsidRDefault="00C7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931" w14:textId="77777777" w:rsidR="0034778C" w:rsidRDefault="0034778C">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932" w14:textId="77777777" w:rsidR="0034778C" w:rsidRDefault="0034778C">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934" w14:textId="77777777" w:rsidR="0034778C" w:rsidRDefault="0034778C">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398E" w14:textId="77777777" w:rsidR="00C71989" w:rsidRDefault="00C71989">
      <w:r>
        <w:separator/>
      </w:r>
    </w:p>
  </w:footnote>
  <w:footnote w:type="continuationSeparator" w:id="0">
    <w:p w14:paraId="7A72205A" w14:textId="77777777" w:rsidR="00C71989" w:rsidRDefault="00C71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92E" w14:textId="77777777" w:rsidR="0034778C" w:rsidRDefault="0034778C">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92F" w14:textId="6A7E4C10" w:rsidR="0034778C" w:rsidRDefault="00315D9E">
    <w:pPr>
      <w:tabs>
        <w:tab w:val="center" w:pos="4819"/>
        <w:tab w:val="right" w:pos="9638"/>
      </w:tabs>
      <w:jc w:val="center"/>
    </w:pPr>
    <w:r>
      <w:fldChar w:fldCharType="begin"/>
    </w:r>
    <w:r>
      <w:instrText>PAGE   \* MERGEFORMAT</w:instrText>
    </w:r>
    <w:r>
      <w:fldChar w:fldCharType="separate"/>
    </w:r>
    <w:r w:rsidR="00867566">
      <w:rPr>
        <w:noProof/>
      </w:rPr>
      <w:t>2</w:t>
    </w:r>
    <w:r>
      <w:fldChar w:fldCharType="end"/>
    </w:r>
  </w:p>
  <w:p w14:paraId="38E4A930" w14:textId="77777777" w:rsidR="0034778C" w:rsidRDefault="0034778C">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A933" w14:textId="77777777" w:rsidR="0034778C" w:rsidRDefault="0034778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315D9E"/>
    <w:rsid w:val="0034778C"/>
    <w:rsid w:val="00867566"/>
    <w:rsid w:val="00963043"/>
    <w:rsid w:val="00C71989"/>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902"/>
  <w15:docId w15:val="{06142C2F-0F71-4144-8627-D69FD379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2569-1A0D-4D14-9222-961D9C0D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5663</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User</cp:lastModifiedBy>
  <cp:revision>2</cp:revision>
  <cp:lastPrinted>2020-05-08T11:48:00Z</cp:lastPrinted>
  <dcterms:created xsi:type="dcterms:W3CDTF">2020-06-17T15:17:00Z</dcterms:created>
  <dcterms:modified xsi:type="dcterms:W3CDTF">2020-06-17T15:17:00Z</dcterms:modified>
</cp:coreProperties>
</file>